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rPr/>
      </w:pPr>
      <w:r>
        <w:rPr>
          <w:rStyle w:val="Zadanifontodlomka"/>
          <w:rFonts w:ascii="Times New Roman" w:hAnsi="Times New Roman"/>
          <w:sz w:val="24"/>
          <w:szCs w:val="24"/>
        </w:rPr>
        <w:drawing>
          <wp:inline distT="0" distB="101600" distL="0" distR="0">
            <wp:extent cx="3209925" cy="1905000"/>
            <wp:effectExtent l="0" t="0" r="0" b="0"/>
            <wp:docPr id="1" name="Slika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rPr>
          <w:rFonts w:ascii="Times New Roman" w:hAnsi="Times New Roman" w:eastAsia="Times New Roman"/>
          <w:b/>
          <w:b/>
          <w:sz w:val="24"/>
          <w:szCs w:val="24"/>
          <w:lang w:val="en-US"/>
        </w:rPr>
      </w:pPr>
      <w:r>
        <w:rPr>
          <w:rFonts w:eastAsia="Times New Roman" w:ascii="Times New Roman" w:hAnsi="Times New Roman"/>
          <w:b/>
          <w:sz w:val="24"/>
          <w:szCs w:val="24"/>
          <w:lang w:val="en-US"/>
        </w:rPr>
        <w:t>GRADONAČELNIK</w:t>
        <w:tab/>
      </w:r>
    </w:p>
    <w:p>
      <w:pPr>
        <w:pStyle w:val="Normal1"/>
        <w:suppressAutoHyphens w:val="false"/>
        <w:spacing w:before="0" w:after="0"/>
        <w:textAlignment w:val="auto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KLASA: 602-03/19-01/356</w:t>
        <w:tab/>
        <w:tab/>
        <w:tab/>
        <w:tab/>
      </w:r>
    </w:p>
    <w:p>
      <w:pPr>
        <w:pStyle w:val="Normal1"/>
        <w:suppressAutoHyphens w:val="false"/>
        <w:spacing w:before="0" w:after="0"/>
        <w:textAlignment w:val="auto"/>
        <w:rPr/>
      </w:pPr>
      <w:r>
        <w:rPr>
          <w:rStyle w:val="Zadanifontodlomka"/>
          <w:rFonts w:eastAsia="Times New Roman" w:ascii="Times New Roman" w:hAnsi="Times New Roman"/>
          <w:sz w:val="24"/>
          <w:szCs w:val="24"/>
          <w:lang w:val="en-GB"/>
        </w:rPr>
        <w:t>URBROJ</w:t>
      </w:r>
      <w:r>
        <w:rPr>
          <w:rStyle w:val="Zadanifontodlomka"/>
          <w:rFonts w:eastAsia="Times New Roman" w:ascii="Times New Roman" w:hAnsi="Times New Roman"/>
          <w:sz w:val="24"/>
          <w:szCs w:val="24"/>
        </w:rPr>
        <w:t>: 2188/01-02-19-1</w:t>
      </w:r>
    </w:p>
    <w:p>
      <w:pPr>
        <w:pStyle w:val="Normal1"/>
        <w:suppressAutoHyphens w:val="false"/>
        <w:spacing w:before="0" w:after="0"/>
        <w:textAlignment w:val="auto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Vinkovci, 14.listopada 2019. godine</w:t>
      </w:r>
    </w:p>
    <w:p>
      <w:pPr>
        <w:pStyle w:val="Normal1"/>
        <w:suppressAutoHyphens w:val="false"/>
        <w:spacing w:before="0" w:after="0"/>
        <w:textAlignment w:val="auto"/>
        <w:rPr>
          <w:rFonts w:ascii="Times New Roman" w:hAnsi="Times New Roman" w:eastAsia="Times New Roman"/>
          <w:iCs/>
          <w:sz w:val="24"/>
          <w:szCs w:val="24"/>
        </w:rPr>
      </w:pPr>
      <w:r>
        <w:rPr>
          <w:rFonts w:eastAsia="Times New Roman" w:ascii="Times New Roman" w:hAnsi="Times New Roman"/>
          <w:iCs/>
          <w:sz w:val="24"/>
          <w:szCs w:val="24"/>
        </w:rPr>
      </w:r>
    </w:p>
    <w:p>
      <w:pPr>
        <w:pStyle w:val="Normal1"/>
        <w:suppressAutoHyphens w:val="false"/>
        <w:spacing w:before="0" w:after="0"/>
        <w:ind w:firstLine="567"/>
        <w:jc w:val="both"/>
        <w:textAlignment w:val="auto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Gradonačelnik Grada Vinkovaca temeljem članka 44. i 48. Zakona o lokalnoj i područnoj (regionalnoj) samoupravi („Narodne novine“ br. 33/01., 60/01.- vjerodostojno tumačenje, 129/05., 109/07., 125/08., 36/09., 150/11., 144/12.,19/13. i 137/15.)  i članka 47. Statuta Grada Vinkovaca ( “Službeni glasnik” Grada Vinkovaca broj 08/09., 01/13. i 02/18.) d o n o s i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/>
      </w:pPr>
      <w:r>
        <w:rPr>
          <w:rStyle w:val="Naglaeno"/>
          <w:rFonts w:ascii="Times New Roman" w:hAnsi="Times New Roman"/>
          <w:sz w:val="24"/>
          <w:szCs w:val="24"/>
        </w:rPr>
        <w:t>PRAVILNIK</w:t>
      </w:r>
    </w:p>
    <w:p>
      <w:pPr>
        <w:pStyle w:val="Normal1"/>
        <w:jc w:val="center"/>
        <w:rPr/>
      </w:pPr>
      <w:r>
        <w:rPr>
          <w:rStyle w:val="Naglaeno"/>
          <w:rFonts w:ascii="Times New Roman" w:hAnsi="Times New Roman"/>
          <w:sz w:val="24"/>
          <w:szCs w:val="24"/>
        </w:rPr>
        <w:t xml:space="preserve">o uvjetima, kriterijima i postupku dodjele stipendija </w:t>
      </w:r>
    </w:p>
    <w:p>
      <w:pPr>
        <w:pStyle w:val="Normal1"/>
        <w:jc w:val="center"/>
        <w:rPr/>
      </w:pPr>
      <w:r>
        <w:rPr>
          <w:rStyle w:val="Naglaeno"/>
          <w:rFonts w:ascii="Times New Roman" w:hAnsi="Times New Roman"/>
          <w:sz w:val="24"/>
          <w:szCs w:val="24"/>
        </w:rPr>
        <w:t>redovitim učenicima srednjih škola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OPĆE ODREDBE </w:t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Ovim Pravilnikom uređuju se uvjeti, kriteriji i postupak dodjele gradske stipendije učenicima srednjih škola. 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Pojmovi koji se koriste u ovom Pravilniku, a imaju rodno značenje, bez obzira na to koriste li se u ženskom ili muškom rodu, odnose se jednako na ženski i muški rod.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Sukladno odredbama ovog Pravilnika, za dodjelu gradskih  stipendija (u daljnjem tekstu: stipendije) mogu se natjecati svi redoviti učenici srednjoškolskih obrazovnih programa od II. do IV. razreda  (u daljnjem tekstu: učenici), koji ne ostvaruju pravo na stipendiju drugog subjekta.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Pravo na dodjelu gradskih stipendija imaju učenici koji su državljani Republike Hrvatske, imaju prebivalište na području grada Vinkovaca i prosjek ocjena za prethodni razred srednje škole  najmanje 4,50.</w:t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Sredstva za stipendije osiguravaju se u Proračunu Grada Vinkovaca.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Broj i mjesečnu visinu stipendija za svaku školsku godinu određuje Gradonačelnik, ovisno o iznosu koji je osiguran za tu namjenu u Proračunu Grada.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Stipendije se dodjeljuju putem natječaja koji provodi Upravni odjel društvenih djelatnosti (dalje u tekstu: Upravni odjel) u skladu s odredbama ovog Pravilnika.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Natječaj raspisuje Gradonačelnik najkasnije do 31. listopada tekuće godine.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Natječaj se objavljuje na službenoj mrežnoj stranici Grada te u lokalnom tisku. 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Natječaj obvezno sadrži:</w:t>
      </w:r>
    </w:p>
    <w:p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uvjete i kriterije za dodjelu stipendije,</w:t>
      </w:r>
    </w:p>
    <w:p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vrijeme trajanja Natječaja,</w:t>
      </w:r>
    </w:p>
    <w:p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naziv i adresu tijela kojem se zahtjevi podnose,</w:t>
      </w:r>
    </w:p>
    <w:p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u kojem će biti objavljeni rezultati Natječaja,</w:t>
      </w:r>
    </w:p>
    <w:p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 stipendija koje se dodjeljuju te mjesečni iznos stipendija.</w:t>
      </w:r>
    </w:p>
    <w:p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ezproreda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POTREBNA DOKUMENTACIJA UZ ZAHTJEV</w:t>
      </w:r>
    </w:p>
    <w:p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ezproreda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>
      <w:pPr>
        <w:pStyle w:val="Bezprored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Zahtjevi za stipendiju podnose se na propisanom obrascu koji izdaje Upravni odjel, a koji se objavljuje i može se preuzeti na službenoj mrežnoj stranici Grada Vinkovaca i u Upravnom odjelu.</w:t>
      </w:r>
    </w:p>
    <w:p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ezproreda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6.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Zahtjevu za dodjelu učeničke stipendije prilaže se:</w:t>
      </w:r>
    </w:p>
    <w:p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preslika domovnice ili osobne iskaznice,</w:t>
      </w:r>
    </w:p>
    <w:p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potvrda srednje škole o statusu redovitog učenika,</w:t>
      </w:r>
    </w:p>
    <w:p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preslika svjedodžbe zadnjeg završenog razreda srednje škole,</w:t>
      </w:r>
    </w:p>
    <w:p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izjava podnositelja zahtjeva da ne prima stipendiju ili novčanu pomoć po drugoj osnovi (na posebnom obrascu Upravnog odjela),</w:t>
      </w:r>
    </w:p>
    <w:p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izjavu o članovima kućanstva (na obrascu Upravnog odjela),</w:t>
      </w:r>
    </w:p>
    <w:p>
      <w:pPr>
        <w:pStyle w:val="Odlomakpopisa"/>
        <w:numPr>
          <w:ilvl w:val="0"/>
          <w:numId w:val="3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službene potvrde o prihodima svih članova kućanstva u posljednja tri mjeseca koja prethode mjesecu objave natječaja u javnom glasilu,</w:t>
      </w:r>
    </w:p>
    <w:p>
      <w:pPr>
        <w:pStyle w:val="Normal1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ostala dokumentacija kojom se dokazuju posebne okolnosti prema kriterijima iz ovog Pravilnika, članak 10. točka 2.,</w:t>
      </w:r>
    </w:p>
    <w:p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dokumentacija kojom se dokazuju rezultati iz članka 10. točke 1. b). </w:t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7.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za podnošenje zahtjeva iznosi 15 dana od dana objave natječaja u javnom glasilu, a u postupak obrade uzimaju se samo potpuno dokumentirani zahtjevi.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8.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Zahtjeve za dodjelu stipendija razmatra Povjerenstvo za stipendije (dalje u tekstu: Povjerenstvo) koje imenuje gradonačelnik, a sastoji se od predsjednika i dva člana.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Administrativne i druge poslove za potrebe Povjerenstva obavlja Upravni odjel.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9.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Zahtjevi koji su nepotpuni ili koji su dostavljeni van propisanog roka se ne upućuju u daljnji postupak i o tome se obavještava njihove podnositelje u roku od 14 dana.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NAČIN BODOVANJA ZAHTJEVA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10.</w:t>
      </w:r>
    </w:p>
    <w:p>
      <w:pPr>
        <w:pStyle w:val="Normal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Način bodovanja zahtjeva za dodjelu učeničkih stipendija vrši se prema sljedećim kriterijima:</w:t>
      </w:r>
    </w:p>
    <w:p>
      <w:pPr>
        <w:pStyle w:val="Normal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lomakpopisa"/>
        <w:numPr>
          <w:ilvl w:val="0"/>
          <w:numId w:val="4"/>
        </w:numPr>
        <w:rPr/>
      </w:pPr>
      <w:r>
        <w:rPr>
          <w:rStyle w:val="Zadanifontodlomka"/>
          <w:rFonts w:ascii="Times New Roman" w:hAnsi="Times New Roman"/>
          <w:b/>
          <w:sz w:val="24"/>
          <w:szCs w:val="24"/>
        </w:rPr>
        <w:t>Uspjeh u učenju</w:t>
      </w:r>
      <w:r>
        <w:rPr>
          <w:rStyle w:val="Zadanifontodlomka"/>
          <w:rFonts w:ascii="Times New Roman" w:hAnsi="Times New Roman"/>
          <w:sz w:val="24"/>
          <w:szCs w:val="24"/>
        </w:rPr>
        <w:t xml:space="preserve"> – do 80 bodova, na sljedeći način:</w:t>
      </w:r>
    </w:p>
    <w:p>
      <w:pPr>
        <w:pStyle w:val="Odlomakpopisa"/>
        <w:ind w:left="1287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7796" w:type="dxa"/>
        <w:jc w:val="left"/>
        <w:tblInd w:w="1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969"/>
        <w:gridCol w:w="3827"/>
      </w:tblGrid>
      <w:tr>
        <w:trPr>
          <w:trHeight w:val="480" w:hRule="atLeas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4,50 – 4,60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45  bodova</w:t>
            </w:r>
          </w:p>
        </w:tc>
      </w:tr>
      <w:tr>
        <w:trPr>
          <w:trHeight w:val="570" w:hRule="atLeast"/>
        </w:trPr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4,61 – 4,70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55  bodova</w:t>
            </w:r>
          </w:p>
        </w:tc>
      </w:tr>
      <w:tr>
        <w:trPr>
          <w:trHeight w:val="510" w:hRule="atLeast"/>
        </w:trPr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4,71 – 4,85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65  bodova</w:t>
            </w:r>
          </w:p>
        </w:tc>
      </w:tr>
      <w:tr>
        <w:trPr>
          <w:trHeight w:val="585" w:hRule="atLeast"/>
        </w:trPr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4,86 – 4,99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75  bodova</w:t>
            </w:r>
          </w:p>
        </w:tc>
      </w:tr>
      <w:tr>
        <w:trPr>
          <w:trHeight w:val="585" w:hRule="atLeast"/>
        </w:trPr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5,00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80  bodova</w:t>
            </w:r>
          </w:p>
        </w:tc>
      </w:tr>
    </w:tbl>
    <w:p>
      <w:pPr>
        <w:pStyle w:val="Odlomakpopis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Odlomakpopisa"/>
        <w:numPr>
          <w:ilvl w:val="0"/>
          <w:numId w:val="4"/>
        </w:numPr>
        <w:jc w:val="both"/>
        <w:rPr/>
      </w:pPr>
      <w:r>
        <w:rPr>
          <w:rStyle w:val="Zadanifontodlomka"/>
          <w:rFonts w:ascii="Times New Roman" w:hAnsi="Times New Roman"/>
          <w:b/>
          <w:sz w:val="24"/>
          <w:szCs w:val="24"/>
        </w:rPr>
        <w:t xml:space="preserve">Uspjeh na natjecanjima znanja – </w:t>
      </w:r>
      <w:r>
        <w:rPr>
          <w:rStyle w:val="Zadanifontodlomka"/>
          <w:rFonts w:ascii="Times New Roman" w:hAnsi="Times New Roman"/>
          <w:bCs/>
          <w:sz w:val="24"/>
          <w:szCs w:val="24"/>
        </w:rPr>
        <w:t>do 20 bodova, na sljedeći način:</w:t>
      </w:r>
    </w:p>
    <w:p>
      <w:pPr>
        <w:pStyle w:val="Odlomakpopisa"/>
        <w:ind w:left="1287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7773" w:type="dxa"/>
        <w:jc w:val="left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964"/>
        <w:gridCol w:w="3809"/>
      </w:tblGrid>
      <w:tr>
        <w:trPr/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7E6E6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rPr/>
            </w:pPr>
            <w:r>
              <w:rPr>
                <w:rStyle w:val="Zadanifontodlomka"/>
                <w:rFonts w:ascii="Times New Roman" w:hAnsi="Times New Roman"/>
                <w:bCs/>
                <w:sz w:val="24"/>
                <w:szCs w:val="24"/>
              </w:rPr>
              <w:t>ŽUPANIJSKO NATJECANJE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both"/>
              <w:rPr/>
            </w:pPr>
            <w:r>
              <w:rPr>
                <w:rStyle w:val="Zadanifontodlomka"/>
                <w:rFonts w:ascii="Times New Roman" w:hAnsi="Times New Roman"/>
                <w:sz w:val="24"/>
                <w:szCs w:val="24"/>
              </w:rPr>
              <w:t>osvojeno 1. mjesto</w:t>
            </w:r>
            <w:r>
              <w:rPr>
                <w:rStyle w:val="Zadanifontodlomka"/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bodova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osvojeno 2. mjesto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bodova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osvojeno 3. mjesto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bodova</w:t>
            </w:r>
          </w:p>
        </w:tc>
      </w:tr>
      <w:tr>
        <w:trPr/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7E6E6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both"/>
              <w:rPr/>
            </w:pPr>
            <w:r>
              <w:rPr>
                <w:rStyle w:val="Zadanifontodlomka"/>
                <w:rFonts w:ascii="Times New Roman" w:hAnsi="Times New Roman"/>
                <w:bCs/>
                <w:sz w:val="24"/>
                <w:szCs w:val="24"/>
              </w:rPr>
              <w:t>DRŽAVNO NATJECANJE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bez obzira na osvojeno mjesto 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bodova</w:t>
            </w:r>
          </w:p>
        </w:tc>
      </w:tr>
      <w:tr>
        <w:trPr/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7E6E6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MEĐUNARODNO NATJECANJE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bez obzira na osvojeno mjesto 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bodova</w:t>
            </w:r>
          </w:p>
        </w:tc>
      </w:tr>
    </w:tbl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ostvarivanje bodova temeljem ovog kriterija mora se raditi o natjecanjima, susretima i smotrama znanja koja su kao takva utvrđena aktima Agencije za odgoj i obrazovanje te Agencije za strukovno obrazovanje i obrazovanje odraslih na državnoj razini a na međunarodnoj razini mora se raditi o natjecanjima, susretima i smotri znanja s najmanje pet država sudionika.  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lomakpopisa"/>
        <w:numPr>
          <w:ilvl w:val="0"/>
          <w:numId w:val="4"/>
        </w:numPr>
        <w:jc w:val="both"/>
        <w:rPr/>
      </w:pPr>
      <w:r>
        <w:rPr>
          <w:rStyle w:val="Zadanifontodlomka"/>
          <w:rFonts w:ascii="Times New Roman" w:hAnsi="Times New Roman"/>
          <w:b/>
          <w:sz w:val="24"/>
          <w:szCs w:val="24"/>
        </w:rPr>
        <w:t xml:space="preserve">Ostale posebnosti u kućanstvu podnositelja </w:t>
      </w:r>
      <w:r>
        <w:rPr>
          <w:rStyle w:val="Zadanifontodlomka"/>
          <w:rFonts w:ascii="Times New Roman" w:hAnsi="Times New Roman"/>
          <w:sz w:val="24"/>
          <w:szCs w:val="24"/>
        </w:rPr>
        <w:t xml:space="preserve"> –  do 15 bodova, na sljedeći način:</w:t>
      </w:r>
    </w:p>
    <w:p>
      <w:pPr>
        <w:pStyle w:val="Odlomakpopisa"/>
        <w:ind w:left="128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7773" w:type="dxa"/>
        <w:jc w:val="left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951"/>
        <w:gridCol w:w="3822"/>
      </w:tblGrid>
      <w:tr>
        <w:trPr/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1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djeca smrtno stradalih hrvatskih branitelja iz Domovinskog rata i djeca</w:t>
            </w:r>
          </w:p>
          <w:p>
            <w:pPr>
              <w:pStyle w:val="Odlomakpopisa"/>
              <w:spacing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zatočenih ili nestalih hrvatskih branitelja iz Domovinskog rata, djeca hrvatskih ratnih vojnih invalida iz Domovinskog rata 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bodova</w:t>
            </w:r>
          </w:p>
        </w:tc>
      </w:tr>
      <w:tr>
        <w:trPr/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both"/>
              <w:rPr/>
            </w:pPr>
            <w:r>
              <w:rPr>
                <w:rStyle w:val="Zadanifontodlomka"/>
                <w:rFonts w:ascii="Times New Roman" w:hAnsi="Times New Roman"/>
                <w:sz w:val="24"/>
                <w:szCs w:val="24"/>
              </w:rPr>
              <w:t xml:space="preserve">djeca samohranih roditelja </w:t>
            </w:r>
            <w:r>
              <w:rPr>
                <w:rStyle w:val="Zadanifontodlomka"/>
                <w:rFonts w:ascii="Times New Roman" w:hAnsi="Times New Roman"/>
                <w:szCs w:val="24"/>
              </w:rPr>
              <w:t>ili kandidat živi u jednoroditeljskoj obitelji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bodova</w:t>
            </w:r>
          </w:p>
        </w:tc>
      </w:tr>
      <w:tr>
        <w:trPr/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djeca civilnih invalida sa 80% do 100% oštećenja organizma 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bodova</w:t>
            </w:r>
          </w:p>
        </w:tc>
      </w:tr>
      <w:tr>
        <w:trPr/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ostali članovi obitelji koji se školuju (osnovna škola, srednja škola, fakultet) </w:t>
            </w:r>
          </w:p>
          <w:p>
            <w:pPr>
              <w:pStyle w:val="Odlomakpopisa"/>
              <w:spacing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bodova po djetetu</w:t>
            </w:r>
          </w:p>
        </w:tc>
      </w:tr>
    </w:tbl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11.</w:t>
      </w:r>
    </w:p>
    <w:p>
      <w:pPr>
        <w:pStyle w:val="Normal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osnovi podataka o članovima kućanstva (pisana izjava uz zahtjev) i dokumentacije o svim prihodima tog kućanstva, izračunava se prihod po članu kućanstva i isti se boduje.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Kao mjesečni prihod članova kućanstva smatraju se prihodi koje članovi kućanstva ostvaruju iz plaća, mirovina ili drugih vrsta prihoda.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Prihodi kućanstva koji se ostvaruju po nekom od kriterija u skladu s važećim Zakonom o socijalnoj skrbi (npr. dječji doplatak), ne ulaze u prihode kućanstva. 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kućanstva u smislu kriterija iz ovog Pravilnika, definiraju se sukladno odredbama važećeg Zakona o socijalnoj skrbi.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Iznos prihoda po članu kućanstva u odnosu na prosječnu mjesečnu neto plaću po zaposlenom u poduzetništvu u Vukovarsko – srijemskoj županiji u prethodnoj godini, boduje se kako slijedi:</w:t>
      </w:r>
    </w:p>
    <w:tbl>
      <w:tblPr>
        <w:tblW w:w="7773" w:type="dxa"/>
        <w:jc w:val="left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889"/>
        <w:gridCol w:w="3884"/>
      </w:tblGrid>
      <w:tr>
        <w:trPr/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do 19,99 %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35 bodova</w:t>
            </w:r>
          </w:p>
        </w:tc>
      </w:tr>
      <w:tr>
        <w:trPr/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od 20 – 29,99 %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30 bodova</w:t>
            </w:r>
          </w:p>
        </w:tc>
      </w:tr>
      <w:tr>
        <w:trPr/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od 30 – 39,99 %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bodova</w:t>
            </w:r>
          </w:p>
        </w:tc>
      </w:tr>
      <w:tr>
        <w:trPr/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od 40 – 49,99 %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20 bodova</w:t>
            </w:r>
          </w:p>
        </w:tc>
      </w:tr>
      <w:tr>
        <w:trPr/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od 50 – 59,99%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15 bodova</w:t>
            </w:r>
          </w:p>
        </w:tc>
      </w:tr>
      <w:tr>
        <w:trPr/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60 %  -100%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10 bodova</w:t>
            </w:r>
          </w:p>
        </w:tc>
      </w:tr>
      <w:tr>
        <w:trPr>
          <w:trHeight w:val="70" w:hRule="atLeast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više od 100%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Odlomakpopisa"/>
              <w:spacing w:before="0" w:after="0"/>
              <w:ind w:left="0" w:hanging="0"/>
              <w:jc w:val="center"/>
              <w:rPr/>
            </w:pPr>
            <w:r>
              <w:rPr>
                <w:rStyle w:val="Zadanifontodlomka"/>
                <w:rFonts w:eastAsia="Times New Roman" w:ascii="Times New Roman" w:hAnsi="Times New Roman"/>
                <w:color w:val="000000"/>
                <w:sz w:val="24"/>
                <w:szCs w:val="24"/>
                <w:lang w:eastAsia="hr-HR"/>
              </w:rPr>
              <w:t>0 bodova</w:t>
            </w:r>
          </w:p>
        </w:tc>
      </w:tr>
    </w:tbl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12.</w:t>
      </w:r>
    </w:p>
    <w:p>
      <w:pPr>
        <w:pStyle w:val="Normal1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Ako dva ili više podnositelja zahtjeva imaju jednak broj bodova, prednost imaju oni kandidati koji  imaju viši prosjek po osnovi uspjeha u učenju.</w:t>
      </w:r>
    </w:p>
    <w:p>
      <w:pPr>
        <w:pStyle w:val="Normal1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Ukoliko u postupku natječaja iz jednog kućanstva sudjeluju dva ili više učenika pravo na stipendiju, u pravilu, ostvaruje samo jedan učenik  iz istog kućanstva koji je ostvario ukupno veći broj bodova.</w:t>
      </w:r>
    </w:p>
    <w:p>
      <w:pPr>
        <w:pStyle w:val="Normal1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13.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Povjerenstvo, na temelju kriterija iz ovog Pravilnika, vrši bodovanje i sastavlja redoslijedne liste podnositelja zahtjeva na način da se podnositelju zahtjeva s najvećim brojem bodova dodjeljuje redni broj 1 na redoslijednoj listi.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Pravo na stipendiju ostvaruju podnositelji zahtjeva od rednog broja 1 na redoslijednoj listi do rednog broja koji odgovara broju stipendija koji se dodjeljuje.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Redoslijedne liste se objavljuju na oglasnoj ploči i službenoj mrežnoj stranici Grada Vinkovaca. 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roku 8 dana od dana objave redoslijednih lista podnositelji zahtjeva imaju pravo prigovora Gradonačelniku.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Odluka Gradonačelnika o prigovoru je konačna.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osnovi redoslijednih lista, Grad s korisnicima stipendija sklapa ugovore o stipendiranju.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Ako podnositelj zahtjeva koji je ostvario pravo na stipendiju odustane od stipendije, pravo na stipendiju ostvaruje podnositelj zahtjeva koji je prvi ispod crte na redoslijednoj listi.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PRAVA I OBVEZE KORISNIKA STIPENDIJE</w:t>
      </w:r>
    </w:p>
    <w:p>
      <w:pPr>
        <w:pStyle w:val="Odlomakpopisa"/>
        <w:ind w:left="108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14.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Ugovor o stipendiranju obavezno sadrži:</w:t>
      </w:r>
    </w:p>
    <w:p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naziv ugovornih strana,</w:t>
      </w:r>
    </w:p>
    <w:p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iznos visine odobrene stipendije,</w:t>
      </w:r>
    </w:p>
    <w:p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obrazovni profil za koji je odobrena stipendija (naziv škole),</w:t>
      </w:r>
    </w:p>
    <w:p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razdoblje za koje je stipendija odobrena,</w:t>
      </w:r>
    </w:p>
    <w:p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dinamiku isplate stipendije,</w:t>
      </w:r>
    </w:p>
    <w:p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obvezu vraćanja primljenih iznosa stipendije,</w:t>
      </w:r>
    </w:p>
    <w:p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ostale kriterije, obveze i prava ugovornih strana.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ugovora o stipendiranju izrađuje Upravni odjel, a potpisuju ga u ime korisnika stipendije učenik kojemu je dodijeljena stipendija i njegov roditelj ili staratelj.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15.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Gradske  stipendije isplaćuju se u razdoblju od početka pa do kraja nastavne godine u pravilu u 10 mjesečnih anuiteta.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16.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Stipendije se dodjeljuju za jednu školsku godinu i u pravilu su bespovratne, osim u slučaju kada učenik tijekom školovanja svojevoljno prekine školovanje.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Obveza vraćanja iznosi cjelokupan iznos primljenih stipendija.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Nastanak obveze vraćanja, iznos i rok podmirenja obveze utvrđuje se korisniku posebnim aktom Upravnog odjela.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17.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Odredbe o vraćanju stipendija iz ovog Pravilnika ne primjenjuju se u slučaju nastanka izvanrednih okolnosti, koje ne ovise o volji primatelja stipendije.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Odmah po nastanku okolnosti iz prednjeg stavka učenik  ili njegov roditelj – staratelj dužni su pisano izvijestiti Upravni odjel, uz obvezatan prilog dokumentacije kojom se potkrepljuju navodi o čemu Upravni odjel donosi rješenje.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18.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Eventualni sporovi, a naročito u svezi primjene i ispunjavanja obveze korisnika stipendije ovog Pravilnika, rješavat će se putem sporazuma ili nadležnog suda.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19.</w:t>
      </w:r>
    </w:p>
    <w:p>
      <w:pPr>
        <w:pStyle w:val="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Pravilnik stupa na snagu prvog dana od dana objave u “Službenom glasniku“ Grada Vinkovaca.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/>
      </w:pPr>
      <w:r>
        <w:rPr>
          <w:rStyle w:val="Zadanifontodlomka"/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Style w:val="Zadanifontodlomka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Zadanifontodlomka"/>
          <w:rFonts w:ascii="Times New Roman" w:hAnsi="Times New Roman"/>
          <w:b/>
          <w:sz w:val="24"/>
          <w:szCs w:val="24"/>
        </w:rPr>
        <w:t>GRADONAČELNIK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Ivan Bosančić, mag oec.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Segoe U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hr-HR" w:eastAsia="en-US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vertAlign w:val="baseline"/>
      <w:em w:val="none"/>
      <w:lang w:val="hr-HR" w:eastAsia="en-US" w:bidi="ar-SA"/>
    </w:rPr>
  </w:style>
  <w:style w:type="character" w:styleId="Zadanifontodlomka">
    <w:name w:val="Zadani font odlomka"/>
    <w:qFormat/>
    <w:rPr/>
  </w:style>
  <w:style w:type="character" w:styleId="Naglaeno">
    <w:name w:val="Naglašeno"/>
    <w:basedOn w:val="Zadanifontodlomka"/>
    <w:qFormat/>
    <w:rPr>
      <w:b/>
      <w:bCs/>
    </w:rPr>
  </w:style>
  <w:style w:type="character" w:styleId="TekstbaloniaChar">
    <w:name w:val="Tekst balončića Char"/>
    <w:basedOn w:val="Zadanifontodlomka"/>
    <w:qFormat/>
    <w:rPr>
      <w:rFonts w:ascii="Segoe UI" w:hAnsi="Segoe UI" w:cs="Segoe UI"/>
      <w:sz w:val="18"/>
      <w:szCs w:val="18"/>
    </w:rPr>
  </w:style>
  <w:style w:type="character" w:styleId="WWCharLFO4LVL1">
    <w:name w:val="WW_CharLFO4LVL1"/>
    <w:qFormat/>
    <w:rPr>
      <w:b/>
      <w:bCs/>
    </w:rPr>
  </w:style>
  <w:style w:type="paragraph" w:styleId="Normal1">
    <w:name w:val="LO-Normal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vertAlign w:val="baseline"/>
      <w:em w:val="none"/>
      <w:lang w:val="hr-HR" w:eastAsia="en-US" w:bidi="ar-SA"/>
    </w:rPr>
  </w:style>
  <w:style w:type="paragraph" w:styleId="Bezproreda">
    <w:name w:val="Bez proreda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before="0" w:after="0" w:lineRule="auto" w:line="24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vertAlign w:val="baseline"/>
      <w:em w:val="none"/>
      <w:lang w:val="hr-HR" w:eastAsia="en-US" w:bidi="ar-SA"/>
    </w:rPr>
  </w:style>
  <w:style w:type="paragraph" w:styleId="Odlomakpopisa">
    <w:name w:val="Odlomak popisa"/>
    <w:basedOn w:val="Normal1"/>
    <w:qFormat/>
    <w:pPr>
      <w:suppressAutoHyphens w:val="true"/>
      <w:ind w:left="720" w:hanging="0"/>
    </w:pPr>
    <w:rPr/>
  </w:style>
  <w:style w:type="paragraph" w:styleId="Tekstbalonia">
    <w:name w:val="Tekst balončića"/>
    <w:basedOn w:val="Normal1"/>
    <w:qFormat/>
    <w:pPr>
      <w:suppressAutoHyphens w:val="true"/>
      <w:spacing w:before="0" w:after="0"/>
    </w:pPr>
    <w:rPr>
      <w:rFonts w:ascii="Segoe UI" w:hAnsi="Segoe UI" w:cs="Segoe UI"/>
      <w:sz w:val="18"/>
      <w:szCs w:val="18"/>
    </w:rPr>
  </w:style>
  <w:style w:type="paragraph" w:styleId="Sadrajitablice">
    <w:name w:val="Sadržaji tablice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429</TotalTime>
  <Application>LibreOffice/5.3.4.2$Windows_X86_64 LibreOffice_project/f82d347ccc0be322489bf7da61d7e4ad13fe2ff3</Application>
  <Pages>7</Pages>
  <Words>1412</Words>
  <Characters>8053</Characters>
  <CharactersWithSpaces>9447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2019-07-10T08:00:00Z</dcterms:created>
  <dc:creator>Tehnološki Park</dc:creator>
  <dc:description/>
  <dc:language>hr-HR</dc:language>
  <cp:lastModifiedBy>Korisnik</cp:lastModifiedBy>
  <cp:lastPrinted>2019-10-24T08:47:00Z</cp:lastPrinted>
  <dcterms:modified xsi:type="dcterms:W3CDTF">2019-10-24T12:09:00Z</dcterms:modified>
  <cp:revision>35</cp:revision>
  <dc:subject/>
  <dc:title/>
</cp:coreProperties>
</file>